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5B6173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bookmarkEnd w:id="0"/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B6173">
        <w:rPr>
          <w:rFonts w:ascii="Times New Roman" w:hAnsi="Times New Roman" w:cs="Times New Roman"/>
          <w:b/>
          <w:sz w:val="28"/>
        </w:rPr>
        <w:t>Нецелевое расходование бюджетных средств.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>Нецелевое расходование бюджетных средств означает трату, употребление их на любые цели, не соответствующие условиям получения этих средств бюджетным учреждением или организацией, определенным утвержденным бюджетом, бюджетной росписью, уведомлением о бюджетных ассигнованиях, сметой доходов и расходов, иным документом, являвшимся основанием для получения бюджетных средств.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 xml:space="preserve">     За данные действия предусмотрена уголовная ответственность по ст. 285.1 УК РФ.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5B6173">
        <w:rPr>
          <w:rFonts w:ascii="Times New Roman" w:hAnsi="Times New Roman" w:cs="Times New Roman"/>
          <w:sz w:val="28"/>
        </w:rPr>
        <w:t>Составообразующим</w:t>
      </w:r>
      <w:proofErr w:type="spellEnd"/>
      <w:r w:rsidRPr="005B6173">
        <w:rPr>
          <w:rFonts w:ascii="Times New Roman" w:hAnsi="Times New Roman" w:cs="Times New Roman"/>
          <w:sz w:val="28"/>
        </w:rPr>
        <w:t xml:space="preserve"> признаком, отличающим данное преступление от административного правонарушения, является размер – сумма бюджетных средств, израсходованных не по целевому назначению, которая должна превышать 1,5 млн. руб. (ч. 1 ст. 285.1) либо 7,5 млн. руб. (ч. 2 ст. 285.1).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 xml:space="preserve">     Преступление окончено в момент списания бюджетных средств со счета организации, наступление общественно-опасных последствий при этом не требуется.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 xml:space="preserve">    Ответственности за данное преступление подлежит должностное лицо организации – получателя бюджетных средств, обладающее правом распоряжения этими средствами. Поскольку расходные документы подписываются руководителем организации (либо его заместителем), а также главным (старшим) бухгалтером, именно эти должностные лица государственных и муниципальных органов и учреждений, соответствующие командиры и финансисты воинских подразделений могут быть субъектами рассматриваемого преступления.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B6173">
        <w:rPr>
          <w:rFonts w:ascii="Times New Roman" w:hAnsi="Times New Roman" w:cs="Times New Roman"/>
          <w:sz w:val="28"/>
        </w:rPr>
        <w:t xml:space="preserve">    Преступление совершается умышленно, мотивы и цели совершения данного деяния могут быть любыми, они не имеют значения для квалификации содеянного.    Нецелевое расходование бюджетных средств необходимо отграничивать от хищений бюджетных средств, совершенных с использованием служебного положения, руководствуясь при этом признаками хищения чужого имущества, сформулированными в примечании 1 к ст. 158 УК РФ, и от использования государственного целевого кредита не по прямому назначению. Бюджетные средства, о которых говорится в ст. 285.1, не являются кредитом и предоставляются не на условиях их возвратности.</w:t>
      </w:r>
    </w:p>
    <w:p w:rsidR="008D64A6" w:rsidRPr="005B6173" w:rsidRDefault="008D64A6" w:rsidP="005B617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8D64A6" w:rsidRPr="005B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6"/>
    <w:rsid w:val="005B6173"/>
    <w:rsid w:val="008D64A6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2019-03-22T04:53:00Z</dcterms:created>
  <dcterms:modified xsi:type="dcterms:W3CDTF">2019-03-22T05:01:00Z</dcterms:modified>
</cp:coreProperties>
</file>